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МИНИСТЕРСТВО ОБРАЗОВАНИЯ И НАУКИ РОССИЙСКОЙ ФЕДЕРАЦИИ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ФЕДЕРАЛЬНОЕ ГОСУДАРСТВЕННОЕ БЮДЖЕТНОЕ ОБРАЗОВАТЕЛЬНОЕ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УЧРЕЖДЕНИЕ ВЫСШЕГО ОБРАЗОВАНИЯ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«ДОНСКОЙ ГОСУДАРСТВЕННЫЙ ТЕХНИЧЕСКИЙ УНИВЕРСИТЕТ»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(ДГТУ)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Кафедра “Сервис и техническая эксплуатация автотранспортных средств”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МЕТОДИЧЕСКИЕ УКАЗАНИЯ</w:t>
      </w:r>
    </w:p>
    <w:p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И КОНТРОЛЬНОЕ ЗАДАНИЕ</w:t>
      </w:r>
    </w:p>
    <w:p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 дисциплине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“</w:t>
      </w:r>
      <w:r>
        <w:rPr>
          <w:szCs w:val="28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Материально-техническое обеспечение</w:t>
      </w:r>
    </w:p>
    <w:p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предприятий автомобильного сервиса”</w:t>
      </w:r>
    </w:p>
    <w:p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Ростов-на-Дону</w:t>
      </w:r>
    </w:p>
    <w:p>
      <w:pPr>
        <w:jc w:val="center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>2020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ТЕМАТИКА И ПОСЛЕДОВАТЕЛЬНОСТЬ ИЗУЧЕНИЯ ДИСЦИПЛИНЫ</w:t>
      </w:r>
    </w:p>
    <w:p>
      <w:pPr>
        <w:pStyle w:val="2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“</w:t>
      </w:r>
      <w:r>
        <w:rPr>
          <w:b w:val="0"/>
          <w:bCs w:val="0"/>
          <w:szCs w:val="28"/>
        </w:rPr>
        <w:t xml:space="preserve"> </w:t>
      </w:r>
      <w:r>
        <w:rPr>
          <w:rFonts w:ascii="Tahoma" w:hAnsi="Tahoma" w:cs="Tahoma"/>
          <w:sz w:val="20"/>
          <w:szCs w:val="20"/>
        </w:rPr>
        <w:t>Материально-техническое обеспечение предприятий автомобильного сервиса ”</w:t>
      </w: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Целями освоения дисциплины «Материально-техническое обеспечение предприятий автомобильного сервиса» являются: формирование знаний студентов в области материально-технического обеспечения и развитие практических навыков их использования для обеспечения стабильной работы предприятий и служб технического сервиса автомобильного транспорта.</w:t>
      </w: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Задачи изучения дисциплины в основной части включают: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изучение основных факторов, влияющих на потребность в запасных частях, горюче-смазочных и эксплуатационных материалах, методик определения потребности; 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изучение методов организации хранения запасных частей и формирования запасов, обеспечения предприятия топливно-энергетическими ресурсами;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изучение способов ресурсосбережения на автомобильном транспорте.</w:t>
      </w: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контрольное задание включены следующие разделы: основные задачи материально-технического обеспечения; организация хранения запасных частей и материалов; обеспечение автомобильного транспорта топливно-энергетическими ресурсами.</w:t>
      </w:r>
    </w:p>
    <w:p>
      <w:pPr>
        <w:ind w:firstLine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Посещение установочных лекций, выполнение практических работ и изучение специальной литературы, приведенной в данном методическом указании, позволяет самостоятельно изучить курс “Материально-техническое обеспечение предприятий автомобильного сервиса” и успешно выполнить контрольное задание.</w:t>
      </w: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Контрольное задание состоит из контрольной работы, которая выполняется в тетради или на листах формата А4. Ответы на вопросы должны иллюстрироваться схемами и эскизами. В конце работы приводится список использованных источников.</w:t>
      </w:r>
    </w:p>
    <w:p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 выборе задания необходимо под двумя последними цифрами номера зачетной книжки подписать буквы А,В. Например № 52324.Из каждой горизонтальной строки таблицы, обозначенной справа буквой, взять число, стоящее в вертикальном столбце, номер которого совпадает с номером буквы. Так при В=4, А=2, получаем: первый вопрос №4; второй вопрос №13,третий вопрос №30.</w:t>
      </w: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                                   Выбор номера варианта</w:t>
      </w:r>
    </w:p>
    <w:tbl>
      <w:tblPr>
        <w:tblStyle w:val="8"/>
        <w:tblW w:w="653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456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13" w:type="dxa"/>
            <w:vMerge w:val="restart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Задание</w:t>
            </w:r>
          </w:p>
        </w:tc>
        <w:tc>
          <w:tcPr>
            <w:tcW w:w="5417" w:type="dxa"/>
            <w:gridSpan w:val="11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                  Вариант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113" w:type="dxa"/>
            <w:vMerge w:val="continue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6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1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56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56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56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56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56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56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56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56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812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Буква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13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Первый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вопрос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812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113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Второй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вопрос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01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812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113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Третий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вопрос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01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456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812" w:type="dxa"/>
            <w:shd w:val="clear" w:color="auto" w:fill="auto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В</w:t>
            </w:r>
          </w:p>
        </w:tc>
      </w:tr>
    </w:tbl>
    <w:p>
      <w:pPr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Вопросы для контрольной работы</w:t>
      </w:r>
    </w:p>
    <w:p>
      <w:pPr>
        <w:rPr>
          <w:rFonts w:ascii="Tahoma" w:hAnsi="Tahoma" w:cs="Tahoma"/>
          <w:sz w:val="20"/>
          <w:szCs w:val="20"/>
        </w:rPr>
      </w:pP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Задачи и формы материально-технического обеспечения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Организация работы службы материально-технического обеспечения. Нормативные документы.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Изделия и материалы, используемые автомобильным транспортом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Назначение и виды норм расхода запасных частей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Методы определения норм расхода запасных частей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Факторы, влияющие на изменение расхода запасных частей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Сравнительная оценка методов определения норм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Факторы, влияющие на потребность в запасных частях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Зарубежная система обеспечения транспорта запасными частями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Становление рыночной системы обеспечения транспорта запасными частями в России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Определение номенклатуры и объемов хранения деталей на складах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Определение площадей складских помещений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Управление запасами на складах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Зарубежный опыт управления запасами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Организация складского хозяйства на предприятиях автомобильного транспорта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Организация учета расхода запасных частей и материалов на предприятиях автомобильного транспорта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Методы определения расхода шин и аккумуляторных батарей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Факторы повышения норм расхода топлива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Факторы снижения норм расхода топлива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Нормирование расходов топлива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Методы определения норм расхода топлив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Нормирование и методы определения расхода смазочных материалов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Нормирование расхода электрической энергии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Нормирование расхода тепловой энергии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Нормирование расхода водопотребления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Перевозка, хранение и раздача жидкого топлива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Перевозка, хранение и раздача сжатого природного газа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Ресурсы, используемые автомобильным транспортом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Экономия ресурсов на автомобильном транспорте</w:t>
      </w:r>
    </w:p>
    <w:p>
      <w:pPr>
        <w:numPr>
          <w:ilvl w:val="0"/>
          <w:numId w:val="1"/>
        </w:numPr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Анализ расхода материалов и запасных частей</w:t>
      </w: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Список использованных источников</w:t>
      </w: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rPr>
          <w:rFonts w:ascii="Tahoma" w:hAnsi="Tahoma" w:cs="Tahoma"/>
          <w:b/>
          <w:bCs/>
          <w:sz w:val="20"/>
          <w:szCs w:val="20"/>
        </w:rPr>
      </w:pPr>
    </w:p>
    <w:p>
      <w:pPr>
        <w:numPr>
          <w:ilvl w:val="0"/>
          <w:numId w:val="2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Туревский И.С. Экономика отрасли (автомобильный транспорт): учебник. – М.: Форум: ИНФРА-М, 2007</w:t>
      </w:r>
    </w:p>
    <w:p>
      <w:pPr>
        <w:numPr>
          <w:ilvl w:val="0"/>
          <w:numId w:val="2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Сербиновский Б.Ю. Экономика предприятий автомобильного транспорта: учеб. пособие. - Ростов н/Д: \МарТ, 2006</w:t>
      </w:r>
    </w:p>
    <w:p>
      <w:pPr>
        <w:numPr>
          <w:ilvl w:val="0"/>
          <w:numId w:val="2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Ременцов А.Н. Системы, технологии и организация услуг в автомобильном сервисе : учебник для студ. учреждений высш. проф. образования. - М .: Издательский центр «Академия», 2013</w:t>
      </w:r>
    </w:p>
    <w:p>
      <w:pPr>
        <w:numPr>
          <w:ilvl w:val="0"/>
          <w:numId w:val="2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Техническая эксплуатация автомобилей: Учебник для вузов/ Е.С. Кузнецов, А.П. Болдин, В.М.Власов и др.- М.: Наука, 2004</w:t>
      </w:r>
    </w:p>
    <w:p>
      <w:pPr>
        <w:numPr>
          <w:ilvl w:val="0"/>
          <w:numId w:val="2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Бурдин А.Г. Экономика автомобильного транспорта : учеб. пособие для вузов. - М. : ACADEMIA, 2006</w:t>
      </w:r>
    </w:p>
    <w:p>
      <w:pPr>
        <w:numPr>
          <w:ilvl w:val="0"/>
          <w:numId w:val="2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Родионов Ю.В. Производственно-техническая инфраструктура предприятий автомобильного сервиса : учеб. пособие для вузов. - Ростов н/Д : Феникс, 2008</w:t>
      </w:r>
    </w:p>
    <w:p>
      <w:pPr>
        <w:numPr>
          <w:ilvl w:val="0"/>
          <w:numId w:val="2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Стуканов В.А. Автомобильные эксплуатационные материалы : учеб. пособие: лаб. Практикум. - М. : Форум: ИНФРА-М, 2009</w:t>
      </w:r>
    </w:p>
    <w:p>
      <w:pPr>
        <w:numPr>
          <w:ilvl w:val="0"/>
          <w:numId w:val="2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Интернет-ресурс </w:t>
      </w:r>
      <w:r>
        <w:fldChar w:fldCharType="begin"/>
      </w:r>
      <w:r>
        <w:instrText xml:space="preserve"> HYPERLINK "http://www.mintrans.ru/" </w:instrText>
      </w:r>
      <w:r>
        <w:fldChar w:fldCharType="separate"/>
      </w:r>
      <w:r>
        <w:rPr>
          <w:rStyle w:val="6"/>
          <w:rFonts w:ascii="Tahoma" w:hAnsi="Tahoma" w:cs="Tahoma"/>
          <w:sz w:val="20"/>
          <w:szCs w:val="20"/>
        </w:rPr>
        <w:t>http://www.mintrans.ru/</w:t>
      </w:r>
      <w:r>
        <w:rPr>
          <w:rStyle w:val="6"/>
          <w:rFonts w:ascii="Tahoma" w:hAnsi="Tahoma" w:cs="Tahoma"/>
          <w:sz w:val="20"/>
          <w:szCs w:val="20"/>
        </w:rPr>
        <w:fldChar w:fldCharType="end"/>
      </w:r>
    </w:p>
    <w:p>
      <w:pPr>
        <w:numPr>
          <w:ilvl w:val="0"/>
          <w:numId w:val="2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Интернет-ресурс </w:t>
      </w:r>
      <w:r>
        <w:fldChar w:fldCharType="begin"/>
      </w:r>
      <w:r>
        <w:instrText xml:space="preserve"> HYPERLINK "http://www.partsgroup.ru/" </w:instrText>
      </w:r>
      <w:r>
        <w:fldChar w:fldCharType="separate"/>
      </w:r>
      <w:r>
        <w:rPr>
          <w:rStyle w:val="6"/>
          <w:rFonts w:ascii="Tahoma" w:hAnsi="Tahoma" w:cs="Tahoma"/>
          <w:sz w:val="20"/>
          <w:szCs w:val="20"/>
        </w:rPr>
        <w:t>http://www.partsgroup.ru/</w:t>
      </w:r>
      <w:r>
        <w:rPr>
          <w:rStyle w:val="6"/>
          <w:rFonts w:ascii="Tahoma" w:hAnsi="Tahoma" w:cs="Tahoma"/>
          <w:sz w:val="20"/>
          <w:szCs w:val="20"/>
        </w:rPr>
        <w:fldChar w:fldCharType="end"/>
      </w:r>
    </w:p>
    <w:p>
      <w:pPr>
        <w:numPr>
          <w:ilvl w:val="0"/>
          <w:numId w:val="2"/>
        </w:numPr>
        <w:tabs>
          <w:tab w:val="clear" w:pos="123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Интернет-ресурс </w:t>
      </w:r>
      <w:r>
        <w:fldChar w:fldCharType="begin"/>
      </w:r>
      <w:r>
        <w:instrText xml:space="preserve"> HYPERLINK "http://www.consultant.ru/" </w:instrText>
      </w:r>
      <w:r>
        <w:fldChar w:fldCharType="separate"/>
      </w:r>
      <w:r>
        <w:rPr>
          <w:rStyle w:val="6"/>
          <w:rFonts w:ascii="Tahoma" w:hAnsi="Tahoma" w:cs="Tahoma"/>
          <w:sz w:val="20"/>
          <w:szCs w:val="20"/>
        </w:rPr>
        <w:t>http://www.consultant.ru/</w:t>
      </w:r>
      <w:r>
        <w:rPr>
          <w:rStyle w:val="6"/>
          <w:rFonts w:ascii="Tahoma" w:hAnsi="Tahoma" w:cs="Tahoma"/>
          <w:sz w:val="20"/>
          <w:szCs w:val="20"/>
        </w:rPr>
        <w:fldChar w:fldCharType="end"/>
      </w:r>
    </w:p>
    <w:sectPr>
      <w:footerReference r:id="rId3" w:type="default"/>
      <w:footerReference r:id="rId4" w:type="even"/>
      <w:pgSz w:w="11906" w:h="16838"/>
      <w:pgMar w:top="851" w:right="567" w:bottom="1134" w:left="1418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4E7F"/>
    <w:multiLevelType w:val="singleLevel"/>
    <w:tmpl w:val="02E94E7F"/>
    <w:lvl w:ilvl="0" w:tentative="0">
      <w:start w:val="1"/>
      <w:numFmt w:val="decimal"/>
      <w:lvlText w:val="%1."/>
      <w:lvlJc w:val="left"/>
      <w:pPr>
        <w:tabs>
          <w:tab w:val="left" w:pos="1230"/>
        </w:tabs>
        <w:ind w:left="1230" w:hanging="510"/>
      </w:pPr>
      <w:rPr>
        <w:rFonts w:hint="default"/>
      </w:rPr>
    </w:lvl>
  </w:abstractNum>
  <w:abstractNum w:abstractNumId="1">
    <w:nsid w:val="15365F33"/>
    <w:multiLevelType w:val="multilevel"/>
    <w:tmpl w:val="15365F33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2"/>
  </w:compat>
  <w:rsids>
    <w:rsidRoot w:val="00476DDC"/>
    <w:rsid w:val="0000157F"/>
    <w:rsid w:val="0002034B"/>
    <w:rsid w:val="00075D15"/>
    <w:rsid w:val="000C30D0"/>
    <w:rsid w:val="000D3602"/>
    <w:rsid w:val="00125BA1"/>
    <w:rsid w:val="001311DF"/>
    <w:rsid w:val="00150532"/>
    <w:rsid w:val="0019147F"/>
    <w:rsid w:val="001D7612"/>
    <w:rsid w:val="00242A2E"/>
    <w:rsid w:val="002600DC"/>
    <w:rsid w:val="002921DF"/>
    <w:rsid w:val="00297D55"/>
    <w:rsid w:val="002B30D1"/>
    <w:rsid w:val="002C0960"/>
    <w:rsid w:val="00357CE5"/>
    <w:rsid w:val="00414E64"/>
    <w:rsid w:val="0046550D"/>
    <w:rsid w:val="00476DDC"/>
    <w:rsid w:val="004B2EE5"/>
    <w:rsid w:val="00526767"/>
    <w:rsid w:val="00540844"/>
    <w:rsid w:val="005B4358"/>
    <w:rsid w:val="0062414B"/>
    <w:rsid w:val="007476D7"/>
    <w:rsid w:val="00755C67"/>
    <w:rsid w:val="007929E0"/>
    <w:rsid w:val="007A45C3"/>
    <w:rsid w:val="0080204A"/>
    <w:rsid w:val="008A2843"/>
    <w:rsid w:val="00921B84"/>
    <w:rsid w:val="009550B4"/>
    <w:rsid w:val="00985507"/>
    <w:rsid w:val="009E01EA"/>
    <w:rsid w:val="00A85FB4"/>
    <w:rsid w:val="00AA5FD2"/>
    <w:rsid w:val="00B10A87"/>
    <w:rsid w:val="00B2486D"/>
    <w:rsid w:val="00B370CA"/>
    <w:rsid w:val="00B86E00"/>
    <w:rsid w:val="00BB220F"/>
    <w:rsid w:val="00C263BA"/>
    <w:rsid w:val="00C8731C"/>
    <w:rsid w:val="00CC5781"/>
    <w:rsid w:val="00CC68D8"/>
    <w:rsid w:val="00CE267E"/>
    <w:rsid w:val="00CF24D0"/>
    <w:rsid w:val="00D10582"/>
    <w:rsid w:val="00D21EDC"/>
    <w:rsid w:val="00D62C2C"/>
    <w:rsid w:val="00DD204E"/>
    <w:rsid w:val="00DD7D9F"/>
    <w:rsid w:val="00E13AE0"/>
    <w:rsid w:val="00E271EC"/>
    <w:rsid w:val="00E4150A"/>
    <w:rsid w:val="00E501EB"/>
    <w:rsid w:val="00E54DDA"/>
    <w:rsid w:val="00E55F1D"/>
    <w:rsid w:val="00E73C15"/>
    <w:rsid w:val="00EA1DFC"/>
    <w:rsid w:val="00ED722A"/>
    <w:rsid w:val="00F40D98"/>
    <w:rsid w:val="00F5408D"/>
    <w:rsid w:val="7E33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bCs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uiPriority w:val="0"/>
    <w:rPr>
      <w:rFonts w:ascii="Courier New" w:hAnsi="Courier New"/>
      <w:sz w:val="28"/>
      <w:szCs w:val="20"/>
    </w:rPr>
  </w:style>
  <w:style w:type="paragraph" w:styleId="4">
    <w:name w:val="footer"/>
    <w:basedOn w:val="1"/>
    <w:uiPriority w:val="0"/>
    <w:pPr>
      <w:tabs>
        <w:tab w:val="center" w:pos="4677"/>
        <w:tab w:val="right" w:pos="9355"/>
      </w:tabs>
    </w:p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styleId="7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3</Pages>
  <Words>838</Words>
  <Characters>4778</Characters>
  <Lines>39</Lines>
  <Paragraphs>11</Paragraphs>
  <TotalTime>3</TotalTime>
  <ScaleCrop>false</ScaleCrop>
  <LinksUpToDate>false</LinksUpToDate>
  <CharactersWithSpaces>5605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2016-10-31T16:10:00Z</dcterms:created>
  <dc:creator>Ahper</dc:creator>
  <cp:lastModifiedBy>Kingsoft Corporation</cp:lastModifiedBy>
  <dcterms:modified xsi:type="dcterms:W3CDTF">2022-11-25T09:16:09Z</dcterms:modified>
  <dc:title>МЕТОДИЧЕСКИЕ УКАЗАНИЯ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